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6F" w:rsidRPr="002227FD" w:rsidRDefault="00FD53EB" w:rsidP="003C3126">
      <w:pPr>
        <w:tabs>
          <w:tab w:val="left" w:pos="276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рекомендации</w:t>
      </w:r>
      <w:r w:rsidR="00243F6F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и муниципального этапа </w:t>
      </w:r>
    </w:p>
    <w:p w:rsidR="00243F6F" w:rsidRPr="002227FD" w:rsidRDefault="00243F6F" w:rsidP="003C3126">
      <w:pPr>
        <w:tabs>
          <w:tab w:val="left" w:pos="276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</w:t>
      </w:r>
    </w:p>
    <w:p w:rsidR="00362D43" w:rsidRPr="002227FD" w:rsidRDefault="0072353B" w:rsidP="003C3126">
      <w:pPr>
        <w:tabs>
          <w:tab w:val="left" w:pos="276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2022/ 2023</w:t>
      </w:r>
      <w:r w:rsidR="00243F6F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061DF7" w:rsidRDefault="00061DF7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1A" w:rsidRDefault="001A471A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школьного этапа </w:t>
      </w:r>
      <w:proofErr w:type="spellStart"/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2022/2023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расти в течение последних трех лет. П</w:t>
      </w: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сравнению с прошлым годом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цифра</w:t>
      </w: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увеличилась</w:t>
      </w: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2951 за счет прироста участников из 5-11 классов. Количество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продолжает снижаться (за тот же отчетный период), и </w:t>
      </w: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 на 122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годом. Количественные данные представлены в Таблице 1. </w:t>
      </w:r>
    </w:p>
    <w:p w:rsidR="001A471A" w:rsidRPr="00BB0426" w:rsidRDefault="001A471A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342F03" w:rsidRPr="002227FD" w:rsidRDefault="00342F03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3190"/>
        <w:gridCol w:w="5877"/>
      </w:tblGrid>
      <w:tr w:rsidR="0000795C" w:rsidRPr="0000795C" w:rsidTr="001A471A">
        <w:tc>
          <w:tcPr>
            <w:tcW w:w="3190" w:type="dxa"/>
          </w:tcPr>
          <w:p w:rsidR="0000795C" w:rsidRPr="0000795C" w:rsidRDefault="0000795C" w:rsidP="003C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95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877" w:type="dxa"/>
          </w:tcPr>
          <w:p w:rsidR="0000795C" w:rsidRPr="0000795C" w:rsidRDefault="0000795C" w:rsidP="003C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95C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школьного </w:t>
            </w:r>
            <w:r w:rsidRPr="0000795C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</w:tr>
      <w:tr w:rsidR="001A471A" w:rsidRPr="0000795C" w:rsidTr="001A471A">
        <w:tc>
          <w:tcPr>
            <w:tcW w:w="3190" w:type="dxa"/>
          </w:tcPr>
          <w:p w:rsidR="001A471A" w:rsidRPr="0000795C" w:rsidRDefault="001A471A" w:rsidP="003C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71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5877" w:type="dxa"/>
          </w:tcPr>
          <w:p w:rsidR="001A471A" w:rsidRPr="0000795C" w:rsidRDefault="001A471A" w:rsidP="003C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71A">
              <w:rPr>
                <w:rFonts w:ascii="Times New Roman" w:hAnsi="Times New Roman"/>
                <w:sz w:val="28"/>
                <w:szCs w:val="28"/>
              </w:rPr>
              <w:t xml:space="preserve">14104 (12 204 + 1900 - 4 </w:t>
            </w:r>
            <w:proofErr w:type="spellStart"/>
            <w:r w:rsidRPr="001A471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A471A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00795C" w:rsidRPr="0000795C" w:rsidTr="001A471A">
        <w:tc>
          <w:tcPr>
            <w:tcW w:w="3190" w:type="dxa"/>
          </w:tcPr>
          <w:p w:rsidR="0000795C" w:rsidRPr="0000795C" w:rsidRDefault="0000795C" w:rsidP="003C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95C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5877" w:type="dxa"/>
          </w:tcPr>
          <w:p w:rsidR="0000795C" w:rsidRPr="0000795C" w:rsidRDefault="0000795C" w:rsidP="003C3126">
            <w:pPr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00795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15088 (14 222+ </w:t>
            </w:r>
            <w:r w:rsidRPr="0000795C">
              <w:rPr>
                <w:rFonts w:ascii="Times New Roman" w:hAnsi="Times New Roman"/>
                <w:kern w:val="24"/>
                <w:sz w:val="28"/>
                <w:szCs w:val="28"/>
              </w:rPr>
              <w:t xml:space="preserve">1447 – 4 </w:t>
            </w:r>
            <w:proofErr w:type="spellStart"/>
            <w:r w:rsidRPr="0000795C">
              <w:rPr>
                <w:rFonts w:ascii="Times New Roman" w:hAnsi="Times New Roman"/>
                <w:kern w:val="24"/>
                <w:sz w:val="28"/>
                <w:szCs w:val="28"/>
              </w:rPr>
              <w:t>кл</w:t>
            </w:r>
            <w:proofErr w:type="spellEnd"/>
            <w:r w:rsidRPr="0000795C">
              <w:rPr>
                <w:rFonts w:ascii="Times New Roman" w:hAnsi="Times New Roman"/>
                <w:kern w:val="24"/>
                <w:sz w:val="28"/>
                <w:szCs w:val="28"/>
              </w:rPr>
              <w:t>.)</w:t>
            </w:r>
          </w:p>
        </w:tc>
      </w:tr>
      <w:tr w:rsidR="0000795C" w:rsidRPr="0000795C" w:rsidTr="001A471A">
        <w:tc>
          <w:tcPr>
            <w:tcW w:w="3190" w:type="dxa"/>
          </w:tcPr>
          <w:p w:rsidR="0000795C" w:rsidRPr="0000795C" w:rsidRDefault="0000795C" w:rsidP="003C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95C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5877" w:type="dxa"/>
          </w:tcPr>
          <w:p w:rsidR="0000795C" w:rsidRPr="0000795C" w:rsidRDefault="00E1569F" w:rsidP="003C3126">
            <w:pPr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19364</w:t>
            </w:r>
            <w:r w:rsidR="0000795C" w:rsidRPr="0000795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18039</w:t>
            </w:r>
            <w:r w:rsidR="0000795C" w:rsidRPr="0000795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+ 1325 – 4 </w:t>
            </w:r>
            <w:proofErr w:type="spellStart"/>
            <w:r w:rsidR="0000795C" w:rsidRPr="0000795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кл</w:t>
            </w:r>
            <w:proofErr w:type="spellEnd"/>
            <w:r w:rsidR="0000795C" w:rsidRPr="0000795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.)</w:t>
            </w:r>
          </w:p>
        </w:tc>
      </w:tr>
    </w:tbl>
    <w:p w:rsidR="00BB0426" w:rsidRDefault="00BB0426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1A" w:rsidRDefault="001A471A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самых многочисленных предметов школьного этапа всероссийской олимпиады школьников не изменился в части перечня предметов, однако рейтингов</w:t>
      </w:r>
      <w:r w:rsidR="007B623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таблица претерпела изменения</w:t>
      </w: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количества участников предметных олимпиад школьного </w:t>
      </w:r>
      <w:r w:rsidR="007B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</w:t>
      </w:r>
      <w:proofErr w:type="spellStart"/>
      <w:r w:rsidR="007B62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7B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2022-2023 году нет</w:t>
      </w: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заинтересованность 9-11 классов, нужно отметить, что наибольший прирост отмечается по предмету «Обществознание» (+229</w:t>
      </w:r>
      <w:r w:rsidR="007B62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E7188C" w:rsidRPr="00E7188C">
        <w:t xml:space="preserve"> </w:t>
      </w:r>
      <w:r w:rsidR="00E7188C" w:rsidRPr="00E71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</w:t>
      </w:r>
      <w:r w:rsidR="00E7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представлены в Таблице 2</w:t>
      </w:r>
      <w:r w:rsidR="00E7188C" w:rsidRPr="00E718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88C" w:rsidRPr="00BB0426" w:rsidRDefault="00E7188C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:rsidR="00BB0426" w:rsidRDefault="00BB0426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916"/>
        <w:gridCol w:w="916"/>
        <w:gridCol w:w="916"/>
        <w:gridCol w:w="917"/>
        <w:gridCol w:w="916"/>
        <w:gridCol w:w="916"/>
        <w:gridCol w:w="916"/>
        <w:gridCol w:w="917"/>
      </w:tblGrid>
      <w:tr w:rsidR="00E7188C" w:rsidRPr="00D42C2E" w:rsidTr="00B0162C">
        <w:trPr>
          <w:trHeight w:val="227"/>
        </w:trPr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7188C" w:rsidRPr="00D42C2E" w:rsidRDefault="00E7188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E7188C" w:rsidRPr="00D42C2E" w:rsidRDefault="00D42C2E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Общее к</w:t>
            </w:r>
            <w:r w:rsidR="00E7188C"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оличество участников </w:t>
            </w:r>
          </w:p>
        </w:tc>
        <w:tc>
          <w:tcPr>
            <w:tcW w:w="36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участников</w:t>
            </w:r>
          </w:p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9-11 класс</w:t>
            </w:r>
            <w:r w:rsidR="00D42C2E"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ов</w:t>
            </w:r>
          </w:p>
        </w:tc>
      </w:tr>
      <w:tr w:rsidR="00E7188C" w:rsidRPr="00D42C2E" w:rsidTr="00B0162C">
        <w:trPr>
          <w:trHeight w:val="227"/>
        </w:trPr>
        <w:tc>
          <w:tcPr>
            <w:tcW w:w="2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188C" w:rsidRPr="00D42C2E" w:rsidRDefault="00E7188C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188C" w:rsidRPr="00D42C2E" w:rsidRDefault="00E7188C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2022-2023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2929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1631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2902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(+713)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601 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647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(+46)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2801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(+1113)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485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486 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523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(+37)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2693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(+418)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514 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571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(+57)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1366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(+234)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558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382 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461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(+79)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1701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1242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(+199)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372 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264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304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(+40)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1189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1155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(+381)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909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564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793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(+229)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1428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1154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(+123)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646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468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494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(+26)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1049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(+70)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318 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386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(+68)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708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807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(+118)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456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430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437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(+7)</w:t>
            </w:r>
          </w:p>
        </w:tc>
      </w:tr>
      <w:tr w:rsidR="001A471A" w:rsidRPr="00D42C2E" w:rsidTr="00E7188C">
        <w:trPr>
          <w:trHeight w:val="22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721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(+157)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265 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349</w:t>
            </w:r>
          </w:p>
          <w:p w:rsidR="001A471A" w:rsidRPr="00D42C2E" w:rsidRDefault="001A471A" w:rsidP="003C3126">
            <w:pPr>
              <w:kinsoku w:val="0"/>
              <w:overflowPunct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2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(+84)</w:t>
            </w:r>
          </w:p>
        </w:tc>
      </w:tr>
    </w:tbl>
    <w:p w:rsidR="001A471A" w:rsidRDefault="001A471A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84C" w:rsidRPr="00DF71D2" w:rsidRDefault="0042784C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Кургана </w:t>
      </w:r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предметных олимпиадах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</w:t>
      </w:r>
      <w:proofErr w:type="spellStart"/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2022-2023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в Таблице 3. </w:t>
      </w:r>
    </w:p>
    <w:p w:rsidR="0042784C" w:rsidRPr="00DF71D2" w:rsidRDefault="0042784C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4C" w:rsidRDefault="0042784C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784C" w:rsidSect="003C3126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57"/>
      </w:tblGrid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предметных олимпиад в ШЭ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784C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784C" w:rsidRPr="00DF71D2" w:rsidTr="004278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4C" w:rsidRPr="00DF71D2" w:rsidRDefault="0042784C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784C" w:rsidRDefault="0042784C" w:rsidP="003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784C" w:rsidSect="003C3126">
          <w:type w:val="continuous"/>
          <w:pgSz w:w="11906" w:h="16838"/>
          <w:pgMar w:top="1134" w:right="707" w:bottom="1134" w:left="1560" w:header="708" w:footer="708" w:gutter="0"/>
          <w:cols w:num="2" w:space="708"/>
          <w:docGrid w:linePitch="360"/>
        </w:sectPr>
      </w:pPr>
    </w:p>
    <w:p w:rsidR="0042784C" w:rsidRPr="00DF71D2" w:rsidRDefault="0042784C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Принимая во внимание тот факт, что школьный этап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самым массовым, и то, что 3 предмета ведутся не во всех городских школах</w:t>
      </w:r>
      <w:r w:rsidR="0004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(«Французский язык», «Немецкий язык», «МХК»)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определяем </w:t>
      </w:r>
      <w:r w:rsidR="00046994">
        <w:rPr>
          <w:rFonts w:ascii="Times New Roman" w:eastAsia="Times New Roman" w:hAnsi="Times New Roman" w:cs="Times New Roman"/>
          <w:sz w:val="24"/>
          <w:szCs w:val="24"/>
          <w:lang w:eastAsia="ru-RU"/>
        </w:rPr>
        <w:t>18 предметов, участие в которых необходимо обеспечить всем общеобразовательным учреждениям города Кургана. Анализируя данные Таблицы 3, мы делаем вывод, что только 14 ОУ обеспечили участие своих учеников во всех предметах (18 и более).</w:t>
      </w:r>
      <w:r w:rsidR="007B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ОУ не реализовали</w:t>
      </w:r>
      <w:r w:rsidR="002D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из целей </w:t>
      </w:r>
      <w:proofErr w:type="spellStart"/>
      <w:r w:rsidR="002D63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2D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мере:</w:t>
      </w:r>
      <w:r w:rsidR="007B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</w:t>
      </w:r>
      <w:r w:rsidR="002D6389" w:rsidRPr="002D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к саморазвитию и творческому поиску, и показать, насколько интересными могут быть разные предметы </w:t>
      </w:r>
      <w:r w:rsidR="002D6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школьной программы»</w:t>
      </w:r>
      <w:r w:rsid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746" w:rsidRDefault="00CB0A01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всероссийской олимпиады школьников оргкомитетом муниципального этапа были определены проходные баллы, в соответствии с которыми на муниципальный этап были приглашены 4029 обучающихся 7-11 классов города Кургана. Фактическое</w:t>
      </w:r>
      <w:r w:rsidR="00BA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</w:t>
      </w:r>
      <w:r w:rsidR="00B2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  <w:proofErr w:type="spellStart"/>
      <w:r w:rsidR="00BA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BA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2022-2023 учебном году 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Кургане </w:t>
      </w:r>
      <w:r w:rsidR="00BA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3131 обучающийся. 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данные участия по пр</w:t>
      </w:r>
      <w:r w:rsidR="000469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едметам представлены в Таблице 4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746" w:rsidRDefault="00BA2746" w:rsidP="003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43" w:rsidRPr="002227FD" w:rsidRDefault="00B26BBE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093E7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362D43" w:rsidRDefault="00362D43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муниципального этапа </w:t>
      </w:r>
      <w:proofErr w:type="spellStart"/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tbl>
      <w:tblPr>
        <w:tblW w:w="8627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851"/>
        <w:gridCol w:w="708"/>
        <w:gridCol w:w="851"/>
        <w:gridCol w:w="850"/>
        <w:gridCol w:w="851"/>
        <w:gridCol w:w="850"/>
        <w:gridCol w:w="851"/>
        <w:gridCol w:w="992"/>
      </w:tblGrid>
      <w:tr w:rsidR="00D42C2E" w:rsidRPr="00D42C2E" w:rsidTr="00D42C2E">
        <w:trPr>
          <w:trHeight w:val="340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C2E" w:rsidRPr="00D42C2E" w:rsidRDefault="00D42C2E" w:rsidP="003C3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9-11 классов</w:t>
            </w:r>
          </w:p>
        </w:tc>
      </w:tr>
      <w:tr w:rsidR="00D42C2E" w:rsidRPr="00D42C2E" w:rsidTr="00B0162C">
        <w:trPr>
          <w:trHeight w:val="340"/>
        </w:trPr>
        <w:tc>
          <w:tcPr>
            <w:tcW w:w="1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2021- 2022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2C2E" w:rsidRPr="00D42C2E" w:rsidRDefault="00D42C2E" w:rsidP="003C31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176 (+11)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(-26)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199 (+49)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(+5)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116 (+10)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(-15)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125 (+24)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(+6)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(+7)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(-25)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56 (+7)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(-25)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(+35)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(-50)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(+139)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(+166)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110 (+1)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(-53)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(+97)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(+99)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143 (+5)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(-38)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(+51)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86 (+15)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(-30)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(+7)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48 (+12)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(+6)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(+83)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(-19)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31 (+5)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(+9)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(+16)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147 (+17)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(-33)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(+52)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96 (+17)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(-31)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(+21)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(-47)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(+ 53)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110 (+5)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(-35)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(-8)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(-23)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(+217)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(-69)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121 (+2)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(+96)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(-36)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(-21)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(-11)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(-21)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(-11)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(-10)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(+/-0)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(-5)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74 (+23)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(-12)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(+8)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74 (+23)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(-12)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(-7)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(-24)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(+20)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(-9)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(-22)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(+14)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84 (+25)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(-18)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84 (+25)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(-18)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183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(-2)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(-49)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(+78)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120 (+9)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(-38)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(- 13)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(-7)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(- 3)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136 (+1)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107 (+1)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(-27)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(+24)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160 (+14)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(-76)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(+75)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(+29)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102 (+15)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(-48)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(-8)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(+/-0)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(-5)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79 (+11)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(-31)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(+91)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79 (+11)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(-31)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(+91)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(+41)</w:t>
            </w:r>
          </w:p>
        </w:tc>
      </w:tr>
      <w:tr w:rsidR="005316E9" w:rsidRPr="00D42C2E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(+4)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62 (+4)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(-3)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(+20)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(-8)</w:t>
            </w:r>
          </w:p>
        </w:tc>
      </w:tr>
      <w:tr w:rsidR="005316E9" w:rsidRPr="00785D2D" w:rsidTr="00D42C2E">
        <w:trPr>
          <w:trHeight w:val="34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43 (+14)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(+19)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43 (+14)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 xml:space="preserve"> (+4)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(+19)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16E9" w:rsidRPr="00D42C2E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316E9" w:rsidRPr="00785D2D" w:rsidRDefault="005316E9" w:rsidP="003C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C2E">
              <w:rPr>
                <w:rFonts w:ascii="Times New Roman" w:hAnsi="Times New Roman" w:cs="Times New Roman"/>
                <w:sz w:val="24"/>
                <w:szCs w:val="24"/>
              </w:rPr>
              <w:t>(+4)</w:t>
            </w:r>
          </w:p>
        </w:tc>
      </w:tr>
    </w:tbl>
    <w:p w:rsidR="00342F03" w:rsidRPr="002227FD" w:rsidRDefault="00342F03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7D" w:rsidRPr="00EC21FD" w:rsidRDefault="00EA413E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3777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участников </w:t>
      </w:r>
      <w:r w:rsidR="00746FD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  <w:r w:rsidR="0033777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316E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3777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 </w:t>
      </w:r>
      <w:r w:rsidR="007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2022 -20</w:t>
      </w:r>
      <w:r w:rsidR="00B26BB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746FD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</w:t>
      </w:r>
      <w:r w:rsidR="0075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ось. Предметы «Немецкий язык» и </w:t>
      </w:r>
      <w:r w:rsidR="00746FD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«Французский язык» потеряли </w:t>
      </w:r>
      <w:r w:rsidR="0053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6 и 2 участника соответственно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746FD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бъясняется тем, что данные языки преподаются как вторые иностранные </w:t>
      </w:r>
      <w:r w:rsidR="000F1526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746FD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нескольких ОУ г. Кургана.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«МХК», </w:t>
      </w:r>
      <w:r w:rsidR="00B2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«Экология»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«Технология» 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«</w:t>
      </w:r>
      <w:r w:rsidR="00976A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Литература» показали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небольшое снижение -</w:t>
      </w:r>
      <w:r w:rsidR="0053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</w:t>
      </w:r>
      <w:r w:rsidR="0053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участн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снижение</w:t>
      </w:r>
      <w:r w:rsidR="0053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участников зафиксировано в по предметам «Инфор</w:t>
      </w:r>
      <w:r w:rsidR="00D4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матика» и «Математика»: 19 и 69 соответственно. </w:t>
      </w:r>
    </w:p>
    <w:p w:rsidR="00EC21FD" w:rsidRPr="00EC21FD" w:rsidRDefault="00976A0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688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</w:t>
      </w:r>
      <w:r w:rsidR="00756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олимпиадных заданий муниципального этапа</w:t>
      </w:r>
      <w:r w:rsid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отмечаем, что количество участников, которые</w:t>
      </w:r>
      <w:r w:rsidR="0075688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справились с заданиями (набрали 0 баллов), </w:t>
      </w:r>
      <w:r w:rsidR="00756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сократилось и составило 8</w:t>
      </w:r>
      <w:r w:rsidR="0075688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количества участников</w:t>
      </w:r>
      <w:r w:rsidR="00756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предметам, что говорит об эффективности мер, принятых для подготовки участников муниципального этапа в текущем году (в прошлом году показатель составил 21%). </w:t>
      </w:r>
      <w:r w:rsidR="0075688D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 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справились с заданиями</w:t>
      </w:r>
      <w:r w:rsidR="003F4D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D43" w:rsidRPr="002227FD" w:rsidRDefault="00746FDD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6A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D43" w:rsidRPr="002227FD" w:rsidRDefault="00362D43" w:rsidP="003C3126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7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1713"/>
        <w:gridCol w:w="1719"/>
        <w:gridCol w:w="1695"/>
        <w:gridCol w:w="1719"/>
      </w:tblGrid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Default="00976A0B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</w:t>
            </w:r>
            <w:r w:rsidR="004323BE" w:rsidRPr="0043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набравших 0 баллов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976A0B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обучающихся, не справившихся с заданиями в </w:t>
            </w:r>
            <w:r w:rsidR="0043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976A0B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набравших 0 баллов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23BE" w:rsidRPr="002227FD" w:rsidRDefault="00976A0B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обучающихся,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справившихся с заданиями в 2021</w:t>
            </w:r>
            <w:r w:rsidRPr="0097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14,9 %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16,7 %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17,8 %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22,1 %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0,6%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9C08A6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BE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9C08A6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3BE" w:rsidRPr="002227FD" w:rsidTr="004323B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9C08A6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23BE" w:rsidRPr="002227FD" w:rsidRDefault="004323BE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</w:tbl>
    <w:p w:rsidR="00342F03" w:rsidRPr="002227FD" w:rsidRDefault="00342F03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16" w:rsidRDefault="009C08A6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="00427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несправившихся</w:t>
      </w:r>
      <w:proofErr w:type="spellEnd"/>
      <w:r w:rsidR="0042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предметам, </w:t>
      </w:r>
      <w:r w:rsidRPr="009C08A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343DE6" w:rsidRPr="009C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кольный этап олимпиады по </w:t>
      </w:r>
      <w:r w:rsidR="00427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343DE6" w:rsidRPr="009C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 на платформе «Сириус. Курсы»</w:t>
      </w:r>
      <w:r w:rsidR="0042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предположительно </w:t>
      </w:r>
      <w:r w:rsidR="0042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объясняется тем, что </w:t>
      </w:r>
      <w:r w:rsidR="00343DE6" w:rsidRPr="009C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проходные баллы, предложенные платформой, обеспечили большое количество участников, которые на муниципальном этапе оказались </w:t>
      </w:r>
      <w:proofErr w:type="spellStart"/>
      <w:r w:rsidR="00343DE6" w:rsidRPr="009C0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неконкурентноспособными</w:t>
      </w:r>
      <w:proofErr w:type="spellEnd"/>
      <w:r w:rsidR="00343DE6" w:rsidRPr="009C0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746" w:rsidRPr="002227FD" w:rsidRDefault="00167060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участия ОУ города Кургана в муниципальном этапе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отмечаем, что в</w:t>
      </w: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этапе всероссийской олимпиады школьников</w:t>
      </w:r>
      <w:r w:rsidRP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общеобразовательных учреждения</w:t>
      </w:r>
      <w:r w:rsidR="00BA2746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Кургана. В 10 и более 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предметных </w:t>
      </w:r>
      <w:r w:rsidR="00BA2746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 приняли участие учащиеся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(</w:t>
      </w:r>
      <w:r w:rsidR="00BA2746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году – </w:t>
      </w:r>
      <w:r w:rsidR="00BA27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A2746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2746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BA2746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31, как и в прошлом году, принял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участие во всех (21) предметных олимпиадах</w:t>
      </w:r>
      <w:r w:rsidR="00BA2746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этапа.</w:t>
      </w:r>
      <w:r w:rsidR="00EC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в 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этапе </w:t>
      </w:r>
      <w:r w:rsidR="00EC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участвовала 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№</w:t>
      </w:r>
      <w:r w:rsidR="00EC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46.</w:t>
      </w:r>
      <w:r w:rsid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Количественные данные представлены в Таблице 6.</w:t>
      </w:r>
    </w:p>
    <w:p w:rsidR="00362D43" w:rsidRPr="002227FD" w:rsidRDefault="00DF7554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  <w:r w:rsidR="00C20A05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2D0" w:rsidRPr="00DF71D2" w:rsidRDefault="00362D43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ОУ в предметных олимпиадах </w:t>
      </w:r>
      <w:r w:rsid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</w:t>
      </w:r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99A"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7615"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87615"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68699A"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ебном </w:t>
      </w:r>
      <w:r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68699A" w:rsidRPr="00DF71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DF7554" w:rsidRDefault="00DF7554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7554" w:rsidSect="003C3126">
          <w:type w:val="continuous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57"/>
      </w:tblGrid>
      <w:tr w:rsidR="00DF7554" w:rsidRPr="00DF71D2" w:rsidTr="006837C4">
        <w:trPr>
          <w:tblHeader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предметных олимпиад в МЭ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554" w:rsidRPr="00DF71D2" w:rsidTr="00B0162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7554" w:rsidRPr="00DF71D2" w:rsidTr="00DF7554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4" w:rsidRPr="00DF71D2" w:rsidRDefault="00DF7554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F7554" w:rsidRDefault="00DF7554" w:rsidP="003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7554" w:rsidSect="003C3126">
          <w:type w:val="continuous"/>
          <w:pgSz w:w="11906" w:h="16838"/>
          <w:pgMar w:top="1134" w:right="707" w:bottom="1134" w:left="1560" w:header="708" w:footer="708" w:gutter="0"/>
          <w:cols w:num="2" w:space="708"/>
          <w:docGrid w:linePitch="360"/>
        </w:sectPr>
      </w:pPr>
    </w:p>
    <w:p w:rsidR="00DF7554" w:rsidRDefault="00DD248F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</w:t>
      </w:r>
      <w:r w:rsid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участия ОУ в школьном и муниципальном этапе показал, что шансы представить обучающихся от ОУ </w:t>
      </w:r>
      <w:r w:rsid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предметные олимпиады</w:t>
      </w:r>
      <w:r w:rsid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уровня возрастают, если увеличить количество предметных олимпиад на школьном этапе.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 школьного и муниципального этапа – Таблица 7.</w:t>
      </w:r>
    </w:p>
    <w:p w:rsidR="00DF7554" w:rsidRDefault="00DF7554" w:rsidP="003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83F" w:rsidRDefault="00E87615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E283F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7C4" w:rsidRDefault="006837C4" w:rsidP="003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37C4" w:rsidSect="003C3126">
          <w:type w:val="continuous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629"/>
        <w:gridCol w:w="1721"/>
      </w:tblGrid>
      <w:tr w:rsidR="006837C4" w:rsidRPr="006837C4" w:rsidTr="00167060">
        <w:trPr>
          <w:tblHeader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предметных олимпиад в ШЭ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предметных олимпиад в МЭ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37C4" w:rsidRPr="006837C4" w:rsidTr="00167060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C4" w:rsidRPr="006837C4" w:rsidRDefault="006837C4" w:rsidP="003C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837C4" w:rsidRDefault="006837C4" w:rsidP="003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37C4" w:rsidSect="003C3126">
          <w:type w:val="continuous"/>
          <w:pgSz w:w="11906" w:h="16838"/>
          <w:pgMar w:top="1134" w:right="707" w:bottom="1134" w:left="1560" w:header="708" w:footer="708" w:gutter="0"/>
          <w:cols w:num="2" w:space="708"/>
          <w:docGrid w:linePitch="360"/>
        </w:sectPr>
      </w:pPr>
    </w:p>
    <w:p w:rsidR="006837C4" w:rsidRDefault="006837C4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призовых мест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этапе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2022-2023 учебном году составило </w:t>
      </w:r>
      <w:r w:rsidR="00167060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212</w:t>
      </w:r>
      <w:r w:rsidR="0016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обучающиеся гимназий (74</w:t>
      </w:r>
      <w:r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="00167060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</w:t>
      </w:r>
      <w:r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обучающиеся средних общеобразовательных школ (2</w:t>
      </w:r>
      <w:r w:rsidR="00167060">
        <w:rPr>
          <w:rFonts w:ascii="Times New Roman" w:eastAsia="Times New Roman" w:hAnsi="Times New Roman" w:cs="Times New Roman"/>
          <w:sz w:val="24"/>
          <w:szCs w:val="24"/>
          <w:lang w:eastAsia="ru-RU"/>
        </w:rPr>
        <w:t>6%), что больше на 7</w:t>
      </w:r>
      <w:r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сравнению с прошлым годом.</w:t>
      </w:r>
      <w:r w:rsidR="00DD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7C4" w:rsidRPr="006837C4" w:rsidRDefault="006837C4" w:rsidP="003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данные победителей и призеров представлены в Таблице 8.</w:t>
      </w:r>
    </w:p>
    <w:p w:rsidR="00DF7554" w:rsidRPr="002227FD" w:rsidRDefault="00DF7554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8</w:t>
      </w:r>
      <w:r w:rsidRPr="00DF7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615" w:rsidRPr="002227FD" w:rsidRDefault="00362D43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победителей и призеров </w:t>
      </w:r>
      <w:r w:rsidR="006E283F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  <w:proofErr w:type="spellStart"/>
      <w:r w:rsidR="006E283F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6E283F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(1-3 </w:t>
      </w: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134"/>
        <w:gridCol w:w="709"/>
        <w:gridCol w:w="850"/>
        <w:gridCol w:w="709"/>
        <w:gridCol w:w="992"/>
        <w:gridCol w:w="1873"/>
        <w:gridCol w:w="1843"/>
      </w:tblGrid>
      <w:tr w:rsidR="00E87615" w:rsidRPr="006837C4" w:rsidTr="00DD248F"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15" w:rsidRPr="006837C4" w:rsidRDefault="00E87615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15" w:rsidRPr="006837C4" w:rsidRDefault="00E87615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15" w:rsidRPr="006837C4" w:rsidRDefault="00E87615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15" w:rsidRPr="006837C4" w:rsidRDefault="00E87615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15" w:rsidRPr="006837C4" w:rsidRDefault="00E87615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15" w:rsidRPr="006837C4" w:rsidRDefault="00E87615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15" w:rsidRPr="006837C4" w:rsidRDefault="00E87615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CB0A01" w:rsidRPr="006837C4" w:rsidTr="00092B33"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092B33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0A01"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0A01"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092B33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0A01"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B0A01"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</w:tr>
      <w:tr w:rsidR="00CB0A01" w:rsidRPr="006837C4" w:rsidTr="00092B3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(+2)</w:t>
            </w:r>
          </w:p>
        </w:tc>
      </w:tr>
      <w:tr w:rsidR="00CB0A01" w:rsidRPr="006837C4" w:rsidTr="00092B3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A01" w:rsidRPr="006837C4" w:rsidRDefault="00CB0A01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(-2)</w:t>
            </w:r>
          </w:p>
        </w:tc>
      </w:tr>
      <w:tr w:rsidR="00CB0A01" w:rsidRPr="006837C4" w:rsidTr="00092B3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(-9)</w:t>
            </w:r>
          </w:p>
        </w:tc>
      </w:tr>
      <w:tr w:rsidR="00CB0A01" w:rsidRPr="006837C4" w:rsidTr="00092B33">
        <w:trPr>
          <w:trHeight w:val="27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01" w:rsidRPr="006837C4" w:rsidRDefault="00CB0A01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(-1)</w:t>
            </w:r>
          </w:p>
        </w:tc>
      </w:tr>
      <w:tr w:rsidR="00CB0A01" w:rsidRPr="006837C4" w:rsidTr="00092B3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01" w:rsidRPr="006837C4" w:rsidRDefault="00CB0A01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(+1)</w:t>
            </w:r>
          </w:p>
        </w:tc>
      </w:tr>
      <w:tr w:rsidR="00CB0A01" w:rsidRPr="006837C4" w:rsidTr="00092B3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(+1)</w:t>
            </w:r>
          </w:p>
        </w:tc>
      </w:tr>
      <w:tr w:rsidR="00CB0A01" w:rsidRPr="006837C4" w:rsidTr="00092B3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01" w:rsidRPr="006837C4" w:rsidRDefault="00CB0A01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(-3)</w:t>
            </w:r>
          </w:p>
        </w:tc>
      </w:tr>
      <w:tr w:rsidR="00CB0A01" w:rsidRPr="006837C4" w:rsidTr="00092B33"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(+5,5)</w:t>
            </w:r>
          </w:p>
        </w:tc>
      </w:tr>
      <w:tr w:rsidR="00CB0A01" w:rsidRPr="006837C4" w:rsidTr="00092B33"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(+6)</w:t>
            </w:r>
          </w:p>
        </w:tc>
      </w:tr>
      <w:tr w:rsidR="00CB0A01" w:rsidRPr="006837C4" w:rsidTr="00092B33">
        <w:trPr>
          <w:trHeight w:val="297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(-4)</w:t>
            </w:r>
          </w:p>
        </w:tc>
      </w:tr>
      <w:tr w:rsidR="00CB0A01" w:rsidRPr="006837C4" w:rsidTr="00092B33"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(+10)</w:t>
            </w:r>
          </w:p>
        </w:tc>
      </w:tr>
      <w:tr w:rsidR="00CB0A01" w:rsidRPr="006837C4" w:rsidTr="00092B33"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(+5)</w:t>
            </w:r>
          </w:p>
        </w:tc>
      </w:tr>
      <w:tr w:rsidR="00CB0A01" w:rsidRPr="006837C4" w:rsidTr="00092B33"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(+1)</w:t>
            </w:r>
          </w:p>
        </w:tc>
      </w:tr>
      <w:tr w:rsidR="00CB0A01" w:rsidRPr="006837C4" w:rsidTr="00092B33"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(+2)</w:t>
            </w:r>
          </w:p>
        </w:tc>
      </w:tr>
      <w:tr w:rsidR="00CB0A01" w:rsidRPr="006837C4" w:rsidTr="00092B33"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(-3)</w:t>
            </w:r>
          </w:p>
        </w:tc>
      </w:tr>
      <w:tr w:rsidR="00CB0A01" w:rsidRPr="006837C4" w:rsidTr="00092B33"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(+6,5)</w:t>
            </w:r>
          </w:p>
        </w:tc>
      </w:tr>
      <w:tr w:rsidR="00CB0A01" w:rsidRPr="006837C4" w:rsidTr="00092B33"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(+1)</w:t>
            </w:r>
          </w:p>
        </w:tc>
      </w:tr>
      <w:tr w:rsidR="00CB0A01" w:rsidRPr="006837C4" w:rsidTr="00092B33"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4%</w:t>
            </w:r>
          </w:p>
        </w:tc>
      </w:tr>
      <w:tr w:rsidR="00CB0A01" w:rsidRPr="006837C4" w:rsidTr="00092B33"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(-5)</w:t>
            </w:r>
          </w:p>
        </w:tc>
      </w:tr>
      <w:tr w:rsidR="00CB0A01" w:rsidRPr="006837C4" w:rsidTr="00092B33"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3%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(+1)</w:t>
            </w:r>
          </w:p>
        </w:tc>
      </w:tr>
      <w:tr w:rsidR="00CB0A01" w:rsidRPr="006837C4" w:rsidTr="00092B33"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(-16)</w:t>
            </w:r>
          </w:p>
        </w:tc>
      </w:tr>
      <w:tr w:rsidR="00CB0A01" w:rsidRPr="006837C4" w:rsidTr="00092B33"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5,5%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3% (-2,5)</w:t>
            </w:r>
          </w:p>
        </w:tc>
      </w:tr>
      <w:tr w:rsidR="00CB0A01" w:rsidRPr="006837C4" w:rsidTr="00092B33">
        <w:trPr>
          <w:trHeight w:val="27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17%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2%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(-15)</w:t>
            </w:r>
          </w:p>
        </w:tc>
      </w:tr>
      <w:tr w:rsidR="00CB0A01" w:rsidRPr="006837C4" w:rsidTr="00092B3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A01" w:rsidRPr="006837C4" w:rsidRDefault="00CB0A01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A01" w:rsidRPr="006837C4" w:rsidRDefault="00CB0A01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9D7A59" w:rsidRDefault="006E283F" w:rsidP="003C3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Данная таблица оформлена как рейтинг ОУ по общему количеству </w:t>
      </w:r>
      <w:r w:rsidR="00A356F5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обучающихся, занявших 1-3 место. Дополнительно указана результативность каждого ОУ (</w:t>
      </w:r>
      <w:r w:rsidR="00362D43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процентное соот</w:t>
      </w:r>
      <w:r w:rsidR="00A356F5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ношение победителей и призеров </w:t>
      </w:r>
      <w:r w:rsidR="001B01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общему количеству</w:t>
      </w:r>
      <w:r w:rsidR="00362D43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участников</w:t>
      </w:r>
      <w:r w:rsidR="001B01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62D43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ОУ</w:t>
      </w:r>
      <w:r w:rsidR="00A356F5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362D43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356F5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которая </w:t>
      </w:r>
      <w:r w:rsidR="00362D43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показывает качес</w:t>
      </w:r>
      <w:r w:rsidR="00A356F5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тво выступления обучающихся ОУ </w:t>
      </w:r>
      <w:r w:rsidR="00362D43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(в скобках: изменение св</w:t>
      </w:r>
      <w:r w:rsidR="00A356F5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оих результатов по сравнению с </w:t>
      </w:r>
      <w:r w:rsidR="00362D43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прошлым годом).</w:t>
      </w:r>
      <w:r w:rsidR="00A356F5" w:rsidRPr="0022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162C" w:rsidRPr="00B0162C" w:rsidRDefault="00093E76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1B013D"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</w:t>
      </w:r>
      <w:r w:rsidR="0016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31 общеобразовательного учреждения</w:t>
      </w:r>
      <w:r w:rsidR="006837C4"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Кургана </w:t>
      </w:r>
      <w:r w:rsidR="006837C4"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призерами </w:t>
      </w:r>
      <w:r w:rsidR="006837C4" w:rsidRPr="00683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6837C4"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и заняли 4</w:t>
      </w:r>
      <w:r w:rsidR="00167060">
        <w:rPr>
          <w:rFonts w:ascii="Times New Roman" w:eastAsia="Times New Roman" w:hAnsi="Times New Roman" w:cs="Times New Roman"/>
          <w:sz w:val="24"/>
          <w:szCs w:val="24"/>
          <w:lang w:eastAsia="ru-RU"/>
        </w:rPr>
        <w:t>37 мест, 323 из которых (74</w:t>
      </w:r>
      <w:r w:rsidR="006837C4"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>%) заня</w:t>
      </w:r>
      <w:r w:rsidR="001670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обучающиеся гимназий, 114 (26</w:t>
      </w:r>
      <w:r w:rsidR="006837C4"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– обучающиеся средних общеобразовательных школ (рост 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прошлым годом составил </w:t>
      </w:r>
      <w:r w:rsidR="001670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37C4" w:rsidRPr="006837C4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  <w:r w:rsidR="00FE1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62C" w:rsidRP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школ </w:t>
      </w:r>
      <w:r w:rsidR="0016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количеству победителей и призеров </w:t>
      </w:r>
      <w:r w:rsidR="00B0162C" w:rsidRP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призёров </w:t>
      </w:r>
      <w:r w:rsidR="00B0162C" w:rsidRPr="00B016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B0162C" w:rsidRP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в 2022-2023 учебном году</w:t>
      </w:r>
      <w:r w:rsid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9.</w:t>
      </w:r>
    </w:p>
    <w:p w:rsidR="00E63689" w:rsidRPr="002227FD" w:rsidRDefault="009E3B3A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9</w:t>
      </w:r>
      <w:r w:rsidR="00E63689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D43" w:rsidRPr="002227FD" w:rsidRDefault="00362D43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школ с учётом призёров </w:t>
      </w:r>
      <w:r w:rsidRPr="002227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  <w:r w:rsidR="00E63689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99A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E3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68699A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ебном </w:t>
      </w: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68699A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6"/>
        <w:gridCol w:w="851"/>
        <w:gridCol w:w="850"/>
        <w:gridCol w:w="709"/>
        <w:gridCol w:w="1276"/>
        <w:gridCol w:w="1276"/>
      </w:tblGrid>
      <w:tr w:rsidR="009E3B3A" w:rsidRPr="00B0162C" w:rsidTr="009E3B3A">
        <w:trPr>
          <w:trHeight w:val="8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E3B3A" w:rsidRPr="00B0162C" w:rsidTr="009E3B3A">
        <w:trPr>
          <w:trHeight w:val="2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E3B3A" w:rsidRPr="00B0162C" w:rsidTr="009E3B3A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E3B3A" w:rsidRPr="00B0162C" w:rsidTr="009E3B3A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9E3B3A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9E3B3A" w:rsidRPr="00B0162C" w:rsidTr="009E3B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167060" w:rsidP="003C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</w:t>
            </w:r>
            <w:r w:rsidR="009E3B3A"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Итого:</w:t>
            </w:r>
            <w:r w:rsidRPr="00B0162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B3A" w:rsidRPr="00B0162C" w:rsidRDefault="009E3B3A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B3A" w:rsidRPr="00B0162C" w:rsidRDefault="00167060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B3A" w:rsidRPr="00B0162C" w:rsidRDefault="00167060" w:rsidP="003C31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167060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43</w:t>
            </w:r>
            <w:r w:rsidR="009E3B3A" w:rsidRPr="00B0162C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3A" w:rsidRPr="00B0162C" w:rsidRDefault="00167060" w:rsidP="003C3126">
            <w:pPr>
              <w:spacing w:after="0" w:line="268" w:lineRule="atLeast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724</w:t>
            </w:r>
          </w:p>
        </w:tc>
      </w:tr>
    </w:tbl>
    <w:p w:rsidR="002E4E81" w:rsidRPr="002E4E81" w:rsidRDefault="00167060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данные </w:t>
      </w:r>
      <w:r w:rsidR="002E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работе апелляционной комиссии </w:t>
      </w:r>
      <w:r w:rsidR="00B0162C" w:rsidRP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эффективность использования процедуры показа р</w:t>
      </w:r>
      <w:r w:rsidR="002E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 перед процедурой апелляции. </w:t>
      </w:r>
      <w:r w:rsidR="00B0162C" w:rsidRP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просмотра</w:t>
      </w:r>
      <w:r w:rsidR="0009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2E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62C" w:rsidRP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>81 участник не стал по</w:t>
      </w:r>
      <w:r w:rsidR="0009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заявление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апелляцию. В итоге а</w:t>
      </w:r>
      <w:r w:rsidR="00B0162C" w:rsidRP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пелляция прошла по 13 предметам</w:t>
      </w:r>
      <w:r w:rsid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>: 24 результата по решению комиссии остались без изменений, в 9 случаях баллы были добавлены.</w:t>
      </w:r>
      <w:r w:rsidR="00B0162C" w:rsidRP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</w:t>
      </w:r>
      <w:r w:rsidR="002E4E81" w:rsidRPr="002E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комиссии представлены в Таблице 10.</w:t>
      </w:r>
    </w:p>
    <w:p w:rsidR="000500F2" w:rsidRPr="002227FD" w:rsidRDefault="00D8169C" w:rsidP="003C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B0162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500F2"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D43" w:rsidRDefault="00362D43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апелляционной комиссии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559"/>
        <w:gridCol w:w="1276"/>
        <w:gridCol w:w="1134"/>
        <w:gridCol w:w="992"/>
      </w:tblGrid>
      <w:tr w:rsidR="00D8169C" w:rsidRPr="00FE1F8A" w:rsidTr="003C3126">
        <w:tc>
          <w:tcPr>
            <w:tcW w:w="709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Просмотр работ</w:t>
            </w:r>
          </w:p>
        </w:tc>
        <w:tc>
          <w:tcPr>
            <w:tcW w:w="1559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Подали на апелляцию</w:t>
            </w:r>
          </w:p>
        </w:tc>
        <w:tc>
          <w:tcPr>
            <w:tcW w:w="1276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Рез-т без измен.</w:t>
            </w:r>
          </w:p>
        </w:tc>
        <w:tc>
          <w:tcPr>
            <w:tcW w:w="1134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Рез-т выше</w:t>
            </w:r>
          </w:p>
        </w:tc>
        <w:tc>
          <w:tcPr>
            <w:tcW w:w="992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Рез-т ниже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  <w:r w:rsidR="00FD5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69C" w:rsidRPr="00D8169C" w:rsidTr="003C3126">
        <w:tc>
          <w:tcPr>
            <w:tcW w:w="70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D816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69C" w:rsidRPr="00D8169C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69C" w:rsidRPr="00FE1F8A" w:rsidTr="003C3126">
        <w:tc>
          <w:tcPr>
            <w:tcW w:w="709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8169C" w:rsidRPr="00FE1F8A" w:rsidRDefault="00D8169C" w:rsidP="003C3126">
            <w:pPr>
              <w:rPr>
                <w:rFonts w:ascii="Times New Roman" w:hAnsi="Times New Roman"/>
                <w:sz w:val="24"/>
                <w:szCs w:val="24"/>
              </w:rPr>
            </w:pPr>
            <w:r w:rsidRPr="00FE1F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169C" w:rsidRPr="002227FD" w:rsidRDefault="00D8169C" w:rsidP="003C3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81" w:rsidRDefault="002E4E81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итогам школьного и муниципального этапов всероссийской олимпиады школьников в 2022-2023 учебном году в городе Кургане.</w:t>
      </w:r>
    </w:p>
    <w:p w:rsidR="002E4E81" w:rsidRDefault="002E4E81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EA2" w:rsidRDefault="00595578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 школьников являетс</w:t>
      </w:r>
      <w:r w:rsidR="00CA0E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одной из самых универсальных,</w:t>
      </w:r>
      <w:r w:rsidR="00CA0EA2" w:rsidRPr="00CA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EA2" w:rsidRP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</w:t>
      </w:r>
      <w:r w:rsidR="00CA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массовых</w:t>
      </w:r>
      <w:r w:rsidR="00CA0EA2" w:rsidRPr="00CA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EA2" w:rsidRP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одаренными детьми. Она проводится в целях выявления и развития у обучающихся творческих способностей и интереса к научной деятельности, пропаганды научных знаний. Участие в олимпиаде является эффективным средст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развития личности школьника</w:t>
      </w:r>
      <w:r w:rsidR="00CA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Всероссийская олимпиада школьников </w:t>
      </w:r>
      <w:r w:rsidRP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от обучающихся самостоятельного мышления, сообразительности, умения творчески рабо</w:t>
      </w:r>
      <w:r w:rsidR="00CA0E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с новой информацией и</w:t>
      </w:r>
      <w:r w:rsidRP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сконцентрироваться на решении задачи, способности адаптироваться и принимать решения в стрессовой ситуации, коммуникабельности, высокого уровня развития общи</w:t>
      </w:r>
      <w:r w:rsidR="00CA0EA2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интеллектуальных способностей</w:t>
      </w:r>
      <w:r w:rsidRP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перечисленные качества являются ключевыми условиями конкурентоспособности молодого поколения на рынке труда.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3EB" w:rsidRDefault="00595578" w:rsidP="003C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все вышесказанное, в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общих рекомендаций всем общеобразовательным учреждениям предлагаем:</w:t>
      </w:r>
    </w:p>
    <w:p w:rsidR="00C4453B" w:rsidRPr="00C4453B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</w:t>
      </w:r>
      <w:r w:rsidRPr="00C4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4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4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и поддержке талантливых и одаренных детей в каждом образовательном уч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реждении: составить план работы</w:t>
      </w:r>
      <w:r w:rsidRPr="00C4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разработать комплекс мер на институциональном уровне;</w:t>
      </w:r>
    </w:p>
    <w:p w:rsidR="00C4453B" w:rsidRPr="00FD53EB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3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</w:t>
      </w:r>
      <w:r w:rsidRPr="00C4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Порядка проведения всероссийской олимпиады школьников, утвержденного Приказом Министерства Просвещения 27 ноября 2020 года № 678 с изменениями от 26 января 2023 года, а также организационно-технологической модели организации и проведения школьного и муниципального этапов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3EB" w:rsidRPr="00FD53EB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оводителям ОУ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значимости </w:t>
      </w:r>
      <w:proofErr w:type="spellStart"/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работы с одаренными детьми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назначать ответственными за проведение </w:t>
      </w:r>
      <w:proofErr w:type="spellStart"/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заместителей директоров;</w:t>
      </w:r>
    </w:p>
    <w:p w:rsidR="00FD53EB" w:rsidRPr="00FD53EB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53EB" w:rsidRPr="00FD5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мотивационные мероприятия по привлечению обучающихся 4 - 11 классов и учителей к участию в каждом этапе всероссийской олимпиады школьников по всем предметам, которые ведутся в ОУ (особое внимание обратить на начальные классы): </w:t>
      </w:r>
    </w:p>
    <w:p w:rsidR="00FD53EB" w:rsidRPr="00FD53EB" w:rsidRDefault="00FD53E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proofErr w:type="gramStart"/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https://www.1tv.ru/shows/dobroe-utro/reportazh/vserossiyskaya-olimpiada-shkolnikov-sploshnye-plyusy-dobroe-utro-fragment-vypuska-ot-17-05-2022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канал. Фрагмент передачи «Доброе утро». Тема: Всероссийская олимпиада школьников: сплошные плюсы);</w:t>
      </w:r>
    </w:p>
    <w:p w:rsidR="00FD53EB" w:rsidRPr="00FD53EB" w:rsidRDefault="00FD53E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proofErr w:type="gramStart"/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https://www.youtube.com/watch?v=ixWnhRb1fYo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proofErr w:type="gram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«Школьный этап </w:t>
      </w:r>
      <w:proofErr w:type="spellStart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 «</w:t>
      </w:r>
      <w:proofErr w:type="spellStart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FD53EB" w:rsidRPr="00FD53EB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использовать возможности пригласительного этапа как инструмента вовлечения в олимпиадное движение:</w:t>
      </w:r>
    </w:p>
    <w:p w:rsidR="00FD53EB" w:rsidRPr="00FD53EB" w:rsidRDefault="00FD53E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информировать о возможности участия в пригласительном этапе </w:t>
      </w:r>
      <w:proofErr w:type="spellStart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https://sochisirius.ru/uploads/2023/04/polozheniye_o_priglasitelnom_etape_vos.pdf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D53EB" w:rsidRPr="00FD53EB" w:rsidRDefault="00FD53E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довести до учителей материалы для проведения классного часа по теме «Пригласительный этап </w:t>
      </w:r>
      <w:proofErr w:type="spellStart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9" w:history="1"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https://siriusolymp.ru/teachers_materials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родительского собрания по теме «Пригласительный этап </w:t>
      </w:r>
      <w:proofErr w:type="spellStart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10" w:anchor="!/tab/571466325-2" w:history="1"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https://siriusolymp.ru/teachers_materials#!/tab/571466325-2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FD53EB" w:rsidRPr="00FD53EB" w:rsidRDefault="00FD53E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разместить Памятку участника пригласительного этапа </w:t>
      </w:r>
      <w:proofErr w:type="spellStart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/ информационном стенде школы (</w:t>
      </w:r>
      <w:hyperlink r:id="rId11" w:history="1"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https://disk.yandex.ru/i/53KvQ0PKnx0d7Q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FD53EB" w:rsidRPr="00FD53EB" w:rsidRDefault="00FD53E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банк заданий пригласительного и школьного этапов всероссийской олимпиады прошлых лет (где можно выбрать класс и предмет, познакомиться с вариантами, решить, отправить на проверку - </w:t>
      </w:r>
      <w:hyperlink r:id="rId12" w:anchor="/contests_page/vos" w:history="1"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https://edu.sirius.online/#/contests_page/vos</w:t>
        </w:r>
      </w:hyperlink>
      <w:r w:rsid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качестве тренажера;</w:t>
      </w:r>
    </w:p>
    <w:p w:rsidR="00FD53EB" w:rsidRPr="00FD53EB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организовать психологическую поддержку для желающих участвовать: </w:t>
      </w:r>
    </w:p>
    <w:p w:rsidR="00FD53EB" w:rsidRPr="00FD53EB" w:rsidRDefault="00FD53E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history="1"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https://xn--45-vlcq4c.xn--p1ai/88/0B84709B-E0EA-F094-8657-34CEBB4CBAD9/89/552/3855/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Буклет для педагогов и родителей «Поддержка одаренного ребенка»;</w:t>
      </w:r>
    </w:p>
    <w:p w:rsidR="00FD53EB" w:rsidRPr="00FD53EB" w:rsidRDefault="00FD53E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систематически размещать в группах в </w:t>
      </w:r>
      <w:proofErr w:type="spellStart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ролики и записи с подсказками (что дает участие в олимпиады, как планировать свое время),  полезными ссылками (</w:t>
      </w:r>
      <w:hyperlink r:id="rId14" w:history="1"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https://uchis-online.ru/blog/olimpiadi/kak-podgotovitsya-k-olimpiadam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«Как подготовиться к олимпиадам по разным предметам и занять призовое место», </w:t>
      </w:r>
      <w:hyperlink r:id="rId15" w:history="1"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https://media.foxford.ru/articles/vsosh-preparation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«Как подготовиться к всероссийской олимпиаде школьников», </w:t>
      </w:r>
      <w:hyperlink r:id="rId16" w:history="1">
        <w:r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https://olimpiada.ru/article/658</w:t>
        </w:r>
      </w:hyperlink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«Как и где готовиться к олимпиадам»;</w:t>
      </w:r>
    </w:p>
    <w:p w:rsidR="00FD53EB" w:rsidRPr="00FD53EB" w:rsidRDefault="00FD53E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освещать достижения обучающихся на сайте ОУ, официальных группах, торжественных линейках, 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поздравительные посты, своевременно доводить информацию до всех участников образовательного процесса (обучающихся, родителей (законных представителей), педагогов);</w:t>
      </w:r>
    </w:p>
    <w:p w:rsidR="00FD53EB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и призеров прошлых лет к транслированию своего опыта подготовки, участия в </w:t>
      </w:r>
      <w:proofErr w:type="spellStart"/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7" w:history="1">
        <w:proofErr w:type="gramStart"/>
        <w:r w:rsidR="00FD53EB" w:rsidRPr="00FD53E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https://olimpiada.ru/article/658</w:t>
        </w:r>
      </w:hyperlink>
      <w:r w:rsid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D53EB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D53EB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учреждениям, которые приняли участие в более 18 предметных олимпиадах предлагаем тиражировать опыт организации работы с обучающимися и учителями по вовле</w:t>
      </w:r>
      <w:r w:rsid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чению их в олимпиадное движение; </w:t>
      </w:r>
    </w:p>
    <w:p w:rsidR="00297141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B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C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141" w:rsidRPr="001B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ОУ, </w:t>
      </w:r>
      <w:r w:rsidR="0029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которые стали </w:t>
      </w:r>
      <w:r w:rsidR="00297141" w:rsidRPr="001B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</w:t>
      </w:r>
      <w:r w:rsidR="0029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никами муниципального этапа </w:t>
      </w:r>
      <w:proofErr w:type="spellStart"/>
      <w:r w:rsidR="0029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рекомендуем</w:t>
      </w:r>
      <w:r w:rsidR="002971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297141" w:rsidRPr="00D25227" w:rsidRDefault="00297141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2522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тщательнее готовить прошедших по баллам участников к предметным олимпиадам, чтобы они пок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азывали положительный результат, тем самым обеспечить ситуацию успеха каждому ребенку;</w:t>
      </w:r>
    </w:p>
    <w:p w:rsidR="00297141" w:rsidRPr="00D25227" w:rsidRDefault="00297141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продумать возможность построения индивидуальной</w:t>
      </w:r>
      <w:r w:rsidRPr="00D2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участников муниципального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141" w:rsidRDefault="00297141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 внимание на призеров 4-й степени как резерв для подготовки к этапам всероссийской олимпиады школьников в 2023-2024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7141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B013D" w:rsidRPr="001B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25227" w:rsidRPr="00D2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7141" w:rsidRPr="00D2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ОУ, которые приняли участие </w:t>
      </w:r>
      <w:r w:rsidR="0029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менее 50% предметных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</w:t>
      </w:r>
      <w:r w:rsidR="002971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7141" w:rsidRDefault="00297141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5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системную работу по подготовке учителей и о</w:t>
      </w:r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к каждому этапу </w:t>
      </w:r>
      <w:proofErr w:type="spellStart"/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CB0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изучать опыт работы других ОУ;</w:t>
      </w:r>
    </w:p>
    <w:p w:rsidR="009C734B" w:rsidRDefault="00297141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найти и проанализировать причины, которые помешали обеспечить представительство ОУ на муниципальном этапе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и разработать план / комплекс мер по их устранению. </w:t>
      </w:r>
    </w:p>
    <w:p w:rsidR="00595578" w:rsidRPr="00FD53EB" w:rsidRDefault="00C4453B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9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95578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№ 46 рекомендуем учесть этапы </w:t>
      </w:r>
      <w:proofErr w:type="spellStart"/>
      <w:r w:rsidR="00595578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595578" w:rsidRPr="00F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работы с одаренными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на следующий учебный год.</w:t>
      </w:r>
    </w:p>
    <w:p w:rsidR="00595578" w:rsidRPr="00FD53EB" w:rsidRDefault="00595578" w:rsidP="003C3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Pr="00CB0A01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53B" w:rsidRDefault="00C4453B" w:rsidP="003C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4453B" w:rsidSect="003C3126">
      <w:type w:val="continuous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41B"/>
    <w:multiLevelType w:val="hybridMultilevel"/>
    <w:tmpl w:val="FA0A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0458"/>
    <w:multiLevelType w:val="hybridMultilevel"/>
    <w:tmpl w:val="A998DCC2"/>
    <w:lvl w:ilvl="0" w:tplc="BF663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CF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A0C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E5F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FAD3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E96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4E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8B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508C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9B15FA"/>
    <w:multiLevelType w:val="hybridMultilevel"/>
    <w:tmpl w:val="558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A110A"/>
    <w:multiLevelType w:val="hybridMultilevel"/>
    <w:tmpl w:val="656E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B0512"/>
    <w:multiLevelType w:val="multilevel"/>
    <w:tmpl w:val="76E8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74"/>
    <w:rsid w:val="0000795C"/>
    <w:rsid w:val="00046994"/>
    <w:rsid w:val="000500F2"/>
    <w:rsid w:val="00050E5E"/>
    <w:rsid w:val="00061DF7"/>
    <w:rsid w:val="00092B33"/>
    <w:rsid w:val="00093E76"/>
    <w:rsid w:val="000C4CCF"/>
    <w:rsid w:val="000E3EB4"/>
    <w:rsid w:val="000F1526"/>
    <w:rsid w:val="000F3B38"/>
    <w:rsid w:val="000F690C"/>
    <w:rsid w:val="00105C70"/>
    <w:rsid w:val="001309D0"/>
    <w:rsid w:val="00167060"/>
    <w:rsid w:val="001A471A"/>
    <w:rsid w:val="001A5953"/>
    <w:rsid w:val="001B013D"/>
    <w:rsid w:val="001B3921"/>
    <w:rsid w:val="0020047D"/>
    <w:rsid w:val="002227FD"/>
    <w:rsid w:val="00223B87"/>
    <w:rsid w:val="00232BE7"/>
    <w:rsid w:val="00243F6F"/>
    <w:rsid w:val="002657BB"/>
    <w:rsid w:val="00294E34"/>
    <w:rsid w:val="00297141"/>
    <w:rsid w:val="002D6389"/>
    <w:rsid w:val="002E173A"/>
    <w:rsid w:val="002E4E81"/>
    <w:rsid w:val="002E7874"/>
    <w:rsid w:val="00312ED9"/>
    <w:rsid w:val="00320FB1"/>
    <w:rsid w:val="0033777D"/>
    <w:rsid w:val="00342F03"/>
    <w:rsid w:val="00343DE6"/>
    <w:rsid w:val="00362D43"/>
    <w:rsid w:val="003A5AD0"/>
    <w:rsid w:val="003B1E2D"/>
    <w:rsid w:val="003B2D60"/>
    <w:rsid w:val="003C3126"/>
    <w:rsid w:val="003E0842"/>
    <w:rsid w:val="003F4D23"/>
    <w:rsid w:val="00406F14"/>
    <w:rsid w:val="00426EF9"/>
    <w:rsid w:val="0042784C"/>
    <w:rsid w:val="004323BE"/>
    <w:rsid w:val="00437761"/>
    <w:rsid w:val="00460965"/>
    <w:rsid w:val="004644A0"/>
    <w:rsid w:val="00476F12"/>
    <w:rsid w:val="004A59C6"/>
    <w:rsid w:val="004C2316"/>
    <w:rsid w:val="004F31F9"/>
    <w:rsid w:val="004F46E5"/>
    <w:rsid w:val="005074FD"/>
    <w:rsid w:val="005316E9"/>
    <w:rsid w:val="00595578"/>
    <w:rsid w:val="005A5955"/>
    <w:rsid w:val="005B5AA4"/>
    <w:rsid w:val="005F6AF5"/>
    <w:rsid w:val="006675B3"/>
    <w:rsid w:val="006837C4"/>
    <w:rsid w:val="0068699A"/>
    <w:rsid w:val="006D44AE"/>
    <w:rsid w:val="006E283F"/>
    <w:rsid w:val="006F4C90"/>
    <w:rsid w:val="0072353B"/>
    <w:rsid w:val="00746FDD"/>
    <w:rsid w:val="00750E6C"/>
    <w:rsid w:val="0075688D"/>
    <w:rsid w:val="00770A36"/>
    <w:rsid w:val="007832D0"/>
    <w:rsid w:val="00787E46"/>
    <w:rsid w:val="0079048C"/>
    <w:rsid w:val="007B32EE"/>
    <w:rsid w:val="007B623F"/>
    <w:rsid w:val="007C2FE9"/>
    <w:rsid w:val="007D77CE"/>
    <w:rsid w:val="007F1CAC"/>
    <w:rsid w:val="008278C7"/>
    <w:rsid w:val="00880D49"/>
    <w:rsid w:val="008A78DD"/>
    <w:rsid w:val="008C5C2C"/>
    <w:rsid w:val="00913113"/>
    <w:rsid w:val="00941880"/>
    <w:rsid w:val="00946582"/>
    <w:rsid w:val="00976A0B"/>
    <w:rsid w:val="009C08A6"/>
    <w:rsid w:val="009C734B"/>
    <w:rsid w:val="009D7A59"/>
    <w:rsid w:val="009E3B3A"/>
    <w:rsid w:val="009E56DC"/>
    <w:rsid w:val="009F1172"/>
    <w:rsid w:val="00A010ED"/>
    <w:rsid w:val="00A24165"/>
    <w:rsid w:val="00A356F5"/>
    <w:rsid w:val="00AC277B"/>
    <w:rsid w:val="00B0162C"/>
    <w:rsid w:val="00B24D10"/>
    <w:rsid w:val="00B26BBE"/>
    <w:rsid w:val="00B26EA6"/>
    <w:rsid w:val="00B6319D"/>
    <w:rsid w:val="00B86CC6"/>
    <w:rsid w:val="00BA2746"/>
    <w:rsid w:val="00BB0426"/>
    <w:rsid w:val="00BC14C5"/>
    <w:rsid w:val="00BF3D38"/>
    <w:rsid w:val="00BF55FC"/>
    <w:rsid w:val="00C12F32"/>
    <w:rsid w:val="00C20A05"/>
    <w:rsid w:val="00C22CC0"/>
    <w:rsid w:val="00C3713C"/>
    <w:rsid w:val="00C4453B"/>
    <w:rsid w:val="00C56D30"/>
    <w:rsid w:val="00C74497"/>
    <w:rsid w:val="00CA0EA2"/>
    <w:rsid w:val="00CB0A01"/>
    <w:rsid w:val="00CC3FD3"/>
    <w:rsid w:val="00CD139A"/>
    <w:rsid w:val="00CE741C"/>
    <w:rsid w:val="00CF6980"/>
    <w:rsid w:val="00D06426"/>
    <w:rsid w:val="00D10595"/>
    <w:rsid w:val="00D25227"/>
    <w:rsid w:val="00D42C2E"/>
    <w:rsid w:val="00D65474"/>
    <w:rsid w:val="00D700D9"/>
    <w:rsid w:val="00D8169C"/>
    <w:rsid w:val="00D931B1"/>
    <w:rsid w:val="00DC2A61"/>
    <w:rsid w:val="00DD248F"/>
    <w:rsid w:val="00DF71D2"/>
    <w:rsid w:val="00DF7554"/>
    <w:rsid w:val="00E1569F"/>
    <w:rsid w:val="00E376F0"/>
    <w:rsid w:val="00E41596"/>
    <w:rsid w:val="00E63689"/>
    <w:rsid w:val="00E7188C"/>
    <w:rsid w:val="00E87615"/>
    <w:rsid w:val="00EA2FEF"/>
    <w:rsid w:val="00EA413E"/>
    <w:rsid w:val="00EC21FD"/>
    <w:rsid w:val="00ED1ADC"/>
    <w:rsid w:val="00EF2758"/>
    <w:rsid w:val="00EF6D0C"/>
    <w:rsid w:val="00F063D2"/>
    <w:rsid w:val="00F12E1F"/>
    <w:rsid w:val="00F350F5"/>
    <w:rsid w:val="00F50B50"/>
    <w:rsid w:val="00F50EA1"/>
    <w:rsid w:val="00F6590B"/>
    <w:rsid w:val="00F72F9C"/>
    <w:rsid w:val="00FB1372"/>
    <w:rsid w:val="00FC3A0D"/>
    <w:rsid w:val="00FC695F"/>
    <w:rsid w:val="00FD53EB"/>
    <w:rsid w:val="00FE1F8A"/>
    <w:rsid w:val="00FF2B0A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2BBC5-FD73-4F3F-B828-C07E650F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D4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62D4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2D43"/>
  </w:style>
  <w:style w:type="character" w:customStyle="1" w:styleId="20">
    <w:name w:val="Заголовок 2 Знак"/>
    <w:basedOn w:val="a0"/>
    <w:link w:val="2"/>
    <w:uiPriority w:val="9"/>
    <w:semiHidden/>
    <w:rsid w:val="00362D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6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2D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62D4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2D4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62D4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D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62D4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a"/>
    <w:uiPriority w:val="59"/>
    <w:rsid w:val="00362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39"/>
    <w:rsid w:val="00362D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362D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a">
    <w:name w:val="Table Grid"/>
    <w:basedOn w:val="a1"/>
    <w:uiPriority w:val="39"/>
    <w:rsid w:val="0036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F3B3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869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B3921"/>
    <w:rPr>
      <w:color w:val="954F72" w:themeColor="followedHyperlink"/>
      <w:u w:val="single"/>
    </w:rPr>
  </w:style>
  <w:style w:type="table" w:customStyle="1" w:styleId="22">
    <w:name w:val="Сетка таблицы2"/>
    <w:basedOn w:val="a1"/>
    <w:next w:val="aa"/>
    <w:uiPriority w:val="59"/>
    <w:rsid w:val="0000795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FB13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456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319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uploads/2023/04/polozheniye_o_priglasitelnom_etape_vos.pdf" TargetMode="External"/><Relationship Id="rId13" Type="http://schemas.openxmlformats.org/officeDocument/2006/relationships/hyperlink" Target="https://xn--45-vlcq4c.xn--p1ai/88/0B84709B-E0EA-F094-8657-34CEBB4CBAD9/89/552/385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xWnhRb1fYo" TargetMode="External"/><Relationship Id="rId12" Type="http://schemas.openxmlformats.org/officeDocument/2006/relationships/hyperlink" Target="https://edu.sirius.online/" TargetMode="External"/><Relationship Id="rId17" Type="http://schemas.openxmlformats.org/officeDocument/2006/relationships/hyperlink" Target="https://olimpiada.ru/article/6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impiada.ru/article/6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1tv.ru/shows/dobroe-utro/reportazh/vserossiyskaya-olimpiada-shkolnikov-sploshnye-plyusy-dobroe-utro-fragment-vypuska-ot-17-05-2022" TargetMode="External"/><Relationship Id="rId11" Type="http://schemas.openxmlformats.org/officeDocument/2006/relationships/hyperlink" Target="https://disk.yandex.ru/i/53KvQ0PKnx0d7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foxford.ru/articles/vsosh-preparation" TargetMode="External"/><Relationship Id="rId10" Type="http://schemas.openxmlformats.org/officeDocument/2006/relationships/hyperlink" Target="https://siriusolymp.ru/teachers_materia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riusolymp.ru/teachers_materials" TargetMode="External"/><Relationship Id="rId14" Type="http://schemas.openxmlformats.org/officeDocument/2006/relationships/hyperlink" Target="https://uchis-online.ru/blog/olimpiadi/kak-podgotovitsya-k-olimpia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71D0-C746-4BEB-A87E-4D3C3FF9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9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10kab</dc:creator>
  <cp:keywords/>
  <dc:description/>
  <cp:lastModifiedBy>10kab</cp:lastModifiedBy>
  <cp:revision>47</cp:revision>
  <cp:lastPrinted>2023-05-16T03:22:00Z</cp:lastPrinted>
  <dcterms:created xsi:type="dcterms:W3CDTF">2023-05-10T11:09:00Z</dcterms:created>
  <dcterms:modified xsi:type="dcterms:W3CDTF">2023-05-18T04:15:00Z</dcterms:modified>
</cp:coreProperties>
</file>